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BBA" w:rsidRDefault="00B34BBA" w:rsidP="00B34BBA">
      <w:pPr>
        <w:rPr>
          <w:b/>
          <w:bCs/>
        </w:rPr>
      </w:pPr>
      <w:r w:rsidRPr="00B34BBA">
        <w:rPr>
          <w:b/>
          <w:bCs/>
        </w:rPr>
        <w:t xml:space="preserve">1 doświadczenie: </w:t>
      </w:r>
      <w:r>
        <w:rPr>
          <w:b/>
          <w:bCs/>
        </w:rPr>
        <w:t>„Wędrująca woda”</w:t>
      </w:r>
    </w:p>
    <w:p w:rsidR="00B34BBA" w:rsidRDefault="00B34BBA" w:rsidP="00B34BBA">
      <w:r w:rsidRPr="00B34BBA">
        <w:t>Potrzebne będą: 6 szklanek (słoików)</w:t>
      </w:r>
      <w:r>
        <w:t xml:space="preserve"> o podobnej wysokości, woda z 3 różnymi kolorami barwników, poskładane paski papierowych ręczników.</w:t>
      </w:r>
    </w:p>
    <w:p w:rsidR="00B34BBA" w:rsidRPr="00B34BBA" w:rsidRDefault="00B34BBA" w:rsidP="00B34BBA">
      <w:pPr>
        <w:jc w:val="both"/>
      </w:pPr>
      <w:r w:rsidRPr="00B34BBA">
        <w:drawing>
          <wp:anchor distT="0" distB="0" distL="114300" distR="114300" simplePos="0" relativeHeight="251658240" behindDoc="0" locked="0" layoutInCell="1" allowOverlap="1" wp14:anchorId="441C2A24">
            <wp:simplePos x="0" y="0"/>
            <wp:positionH relativeFrom="column">
              <wp:posOffset>981872</wp:posOffset>
            </wp:positionH>
            <wp:positionV relativeFrom="paragraph">
              <wp:posOffset>414168</wp:posOffset>
            </wp:positionV>
            <wp:extent cx="3104274" cy="2070543"/>
            <wp:effectExtent l="0" t="0" r="127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274" cy="207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Kolorową wodę możemy uzyskać rozpuszczając barwniki spożywcze (do barwienie jajek), mocząc bibułę w wybranych kolorach. Najlepiej, żeby był to niebieski, żółty i czerwony, jak na zdjęciu poniżej. </w:t>
      </w:r>
    </w:p>
    <w:p w:rsidR="00B34BBA" w:rsidRDefault="00B34BBA" w:rsidP="00B34BBA">
      <w:pPr>
        <w:rPr>
          <w:b/>
          <w:bCs/>
        </w:rPr>
      </w:pPr>
    </w:p>
    <w:p w:rsidR="00B34BBA" w:rsidRDefault="00B34BBA" w:rsidP="00B34BBA">
      <w:pPr>
        <w:rPr>
          <w:b/>
          <w:bCs/>
        </w:rPr>
      </w:pPr>
    </w:p>
    <w:p w:rsidR="00B34BBA" w:rsidRDefault="00B34BBA" w:rsidP="00B34BBA">
      <w:pPr>
        <w:jc w:val="center"/>
        <w:rPr>
          <w:b/>
          <w:bCs/>
        </w:rPr>
      </w:pPr>
      <w:r>
        <w:rPr>
          <w:b/>
          <w:bCs/>
        </w:rPr>
        <w:tab/>
        <w:t xml:space="preserve"> </w:t>
      </w:r>
    </w:p>
    <w:p w:rsidR="00B34BBA" w:rsidRPr="00B34BBA" w:rsidRDefault="00B34BBA" w:rsidP="00B34BBA">
      <w:pPr>
        <w:rPr>
          <w:b/>
          <w:bCs/>
        </w:rPr>
      </w:pPr>
    </w:p>
    <w:p w:rsidR="00B34BBA" w:rsidRDefault="00B34BBA" w:rsidP="009A563C">
      <w:pPr>
        <w:rPr>
          <w:b/>
          <w:bCs/>
        </w:rPr>
      </w:pPr>
    </w:p>
    <w:p w:rsidR="00B34BBA" w:rsidRDefault="00B34BBA" w:rsidP="009A563C">
      <w:pPr>
        <w:rPr>
          <w:b/>
          <w:bCs/>
        </w:rPr>
      </w:pPr>
    </w:p>
    <w:p w:rsidR="00B34BBA" w:rsidRDefault="00B34BBA" w:rsidP="009A563C">
      <w:pPr>
        <w:rPr>
          <w:b/>
          <w:bCs/>
        </w:rPr>
      </w:pPr>
    </w:p>
    <w:p w:rsidR="00B34BBA" w:rsidRDefault="00B34BBA" w:rsidP="009A563C">
      <w:pPr>
        <w:rPr>
          <w:b/>
          <w:bCs/>
        </w:rPr>
      </w:pPr>
    </w:p>
    <w:p w:rsidR="00B34BBA" w:rsidRPr="00B34BBA" w:rsidRDefault="00B34BBA" w:rsidP="00056136">
      <w:pPr>
        <w:jc w:val="both"/>
      </w:pPr>
      <w:r w:rsidRPr="00B34BBA">
        <w:t xml:space="preserve">Przebieg: </w:t>
      </w:r>
      <w:r>
        <w:t>do pierwszej, trzeciej i piątej szklanki wlewamy wodę z barwnikiem. Do szklanek wkładamy poskładane ręczniki papierowe, jak na zdjęciu. Na efekt będziemy trochę musieli poczekać, dlatego</w:t>
      </w:r>
      <w:r w:rsidR="00056136">
        <w:t xml:space="preserve"> zapraszam do kolejnego doświadczenia, a do efektów tego wrócimy na koniec. </w:t>
      </w:r>
    </w:p>
    <w:p w:rsidR="00056136" w:rsidRDefault="00056136" w:rsidP="009A563C">
      <w:pPr>
        <w:rPr>
          <w:b/>
          <w:bCs/>
        </w:rPr>
      </w:pPr>
    </w:p>
    <w:p w:rsidR="009A563C" w:rsidRPr="00B34BBA" w:rsidRDefault="00B34BBA" w:rsidP="009A563C">
      <w:pPr>
        <w:rPr>
          <w:b/>
          <w:bCs/>
        </w:rPr>
      </w:pPr>
      <w:r w:rsidRPr="00B34BBA">
        <w:rPr>
          <w:b/>
          <w:bCs/>
        </w:rPr>
        <w:t>2</w:t>
      </w:r>
      <w:r w:rsidR="009A563C" w:rsidRPr="00B34BBA">
        <w:rPr>
          <w:b/>
          <w:bCs/>
        </w:rPr>
        <w:t xml:space="preserve"> doświadczenie: „</w:t>
      </w:r>
      <w:r w:rsidR="009A563C" w:rsidRPr="00B34BBA">
        <w:rPr>
          <w:b/>
          <w:bCs/>
        </w:rPr>
        <w:t>Co pływa, a co tonie?</w:t>
      </w:r>
      <w:r w:rsidR="009A563C" w:rsidRPr="00B34BBA">
        <w:rPr>
          <w:b/>
          <w:bCs/>
        </w:rPr>
        <w:t>”</w:t>
      </w:r>
    </w:p>
    <w:p w:rsidR="009A563C" w:rsidRDefault="009A563C" w:rsidP="009A563C">
      <w:r>
        <w:t>Potrzebne będą: jedna duża miska z wodą lub kilka mniejszych, drobne przedmioty z metalu, drewna,</w:t>
      </w:r>
    </w:p>
    <w:p w:rsidR="009A563C" w:rsidRDefault="009A563C" w:rsidP="009A563C">
      <w:r>
        <w:t>plastiku, szkła, papieru, korek, plastelina, styropian, piórko, kora</w:t>
      </w:r>
      <w:r>
        <w:t xml:space="preserve"> (tak naprawdę, co znajdziecie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).</w:t>
      </w:r>
    </w:p>
    <w:p w:rsidR="00056136" w:rsidRDefault="00056136" w:rsidP="009A563C">
      <w:r w:rsidRPr="00056136">
        <w:drawing>
          <wp:anchor distT="0" distB="0" distL="114300" distR="114300" simplePos="0" relativeHeight="251659264" behindDoc="0" locked="0" layoutInCell="1" allowOverlap="1" wp14:anchorId="7BB10D34">
            <wp:simplePos x="0" y="0"/>
            <wp:positionH relativeFrom="column">
              <wp:posOffset>1587559</wp:posOffset>
            </wp:positionH>
            <wp:positionV relativeFrom="paragraph">
              <wp:posOffset>95250</wp:posOffset>
            </wp:positionV>
            <wp:extent cx="2530549" cy="1897912"/>
            <wp:effectExtent l="0" t="0" r="3175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549" cy="1897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136" w:rsidRDefault="00056136" w:rsidP="009A563C"/>
    <w:p w:rsidR="00056136" w:rsidRDefault="00056136" w:rsidP="009A563C"/>
    <w:p w:rsidR="00056136" w:rsidRDefault="00056136" w:rsidP="009A563C"/>
    <w:p w:rsidR="00056136" w:rsidRDefault="00056136" w:rsidP="009A563C"/>
    <w:p w:rsidR="00056136" w:rsidRDefault="00056136" w:rsidP="009A563C"/>
    <w:p w:rsidR="00056136" w:rsidRDefault="00056136" w:rsidP="009A563C"/>
    <w:p w:rsidR="00056136" w:rsidRPr="00056136" w:rsidRDefault="00056136" w:rsidP="00056136">
      <w:pPr>
        <w:jc w:val="center"/>
        <w:rPr>
          <w:sz w:val="16"/>
          <w:szCs w:val="16"/>
        </w:rPr>
      </w:pPr>
      <w:r w:rsidRPr="00056136">
        <w:rPr>
          <w:sz w:val="16"/>
          <w:szCs w:val="16"/>
        </w:rPr>
        <w:t>http://frajdap.blogspot.com/2010/12/co-pywa-co-nie-pywa.html</w:t>
      </w:r>
    </w:p>
    <w:p w:rsidR="009A563C" w:rsidRDefault="009A563C" w:rsidP="009A563C">
      <w:pPr>
        <w:pStyle w:val="Akapitzlist"/>
        <w:numPr>
          <w:ilvl w:val="0"/>
          <w:numId w:val="3"/>
        </w:numPr>
      </w:pPr>
      <w:r>
        <w:t xml:space="preserve">Co się stanie, gdy położę jakiś przedmiot na </w:t>
      </w:r>
      <w:r>
        <w:t>wodzie?</w:t>
      </w:r>
    </w:p>
    <w:p w:rsidR="009A563C" w:rsidRDefault="009A563C" w:rsidP="009A563C">
      <w:pPr>
        <w:pStyle w:val="Akapitzlist"/>
        <w:numPr>
          <w:ilvl w:val="0"/>
          <w:numId w:val="3"/>
        </w:numPr>
      </w:pPr>
      <w:r>
        <w:t xml:space="preserve"> Czy</w:t>
      </w:r>
      <w:r>
        <w:t xml:space="preserve"> </w:t>
      </w:r>
      <w:r>
        <w:t xml:space="preserve">wszystkie przedmioty toną? Czy wszystkie przedmioty unoszą się na </w:t>
      </w:r>
      <w:r>
        <w:t>wodzie?</w:t>
      </w:r>
      <w:r>
        <w:t xml:space="preserve"> </w:t>
      </w:r>
    </w:p>
    <w:p w:rsidR="009A563C" w:rsidRDefault="009A563C" w:rsidP="009A563C">
      <w:pPr>
        <w:pStyle w:val="Akapitzlist"/>
        <w:numPr>
          <w:ilvl w:val="0"/>
          <w:numId w:val="3"/>
        </w:numPr>
      </w:pPr>
      <w:r>
        <w:t>Czy kształt / kolor / ciężar /</w:t>
      </w:r>
      <w:r>
        <w:t xml:space="preserve"> </w:t>
      </w:r>
      <w:r>
        <w:t xml:space="preserve">wielkość / zapach przedmiotu wpływa na to, czy przedmiot </w:t>
      </w:r>
      <w:r>
        <w:t>tonie?</w:t>
      </w:r>
      <w:r>
        <w:t xml:space="preserve"> </w:t>
      </w:r>
    </w:p>
    <w:p w:rsidR="009A563C" w:rsidRDefault="009A563C" w:rsidP="009A563C">
      <w:r>
        <w:t>Przebieg:</w:t>
      </w:r>
    </w:p>
    <w:p w:rsidR="009A563C" w:rsidRDefault="009A563C" w:rsidP="009A563C">
      <w:pPr>
        <w:jc w:val="both"/>
      </w:pPr>
      <w:r>
        <w:t>Rodzic</w:t>
      </w:r>
      <w:r>
        <w:t xml:space="preserve"> stawia na stole miskę lub miseczki z wodą. Zachęca dziec</w:t>
      </w:r>
      <w:r>
        <w:t>ko</w:t>
      </w:r>
      <w:r>
        <w:t xml:space="preserve"> do oglądania, wąchania, dotykania, porównywania</w:t>
      </w:r>
      <w:r>
        <w:t xml:space="preserve"> </w:t>
      </w:r>
      <w:r>
        <w:t xml:space="preserve">ciężaru przygotowanych przedmiotów, a następnie delikatnego kładzenia ich na </w:t>
      </w:r>
      <w:r>
        <w:lastRenderedPageBreak/>
        <w:t>powierzchni</w:t>
      </w:r>
      <w:r>
        <w:t xml:space="preserve"> </w:t>
      </w:r>
      <w:r>
        <w:t xml:space="preserve">wody i obserwowania, czy przedmioty toną, czy unoszą się na powierzchni wody. </w:t>
      </w:r>
      <w:r>
        <w:t xml:space="preserve">Rodzic </w:t>
      </w:r>
      <w:r>
        <w:t>zachęca</w:t>
      </w:r>
      <w:r>
        <w:t xml:space="preserve"> </w:t>
      </w:r>
      <w:r>
        <w:t>do eksperymentów z plasteliną, która zgnieciona w kulkę tonie, a rozgnieciona na placek utrzymuje się</w:t>
      </w:r>
      <w:r>
        <w:t xml:space="preserve"> </w:t>
      </w:r>
      <w:r>
        <w:t>na powierzchni wody. Na przedmiotach, które nie toną dziec</w:t>
      </w:r>
      <w:r>
        <w:t>ko może</w:t>
      </w:r>
      <w:r>
        <w:t xml:space="preserve"> układa</w:t>
      </w:r>
      <w:r>
        <w:t>ć</w:t>
      </w:r>
      <w:r>
        <w:t xml:space="preserve"> inne i obserw</w:t>
      </w:r>
      <w:r>
        <w:t>ować</w:t>
      </w:r>
      <w:r>
        <w:t xml:space="preserve"> zmiany (np.</w:t>
      </w:r>
      <w:r>
        <w:t xml:space="preserve"> </w:t>
      </w:r>
      <w:r>
        <w:t>kładą na wodzie kartkę, na niej plastelinę, monetę, kamień;</w:t>
      </w:r>
      <w:r>
        <w:t xml:space="preserve"> </w:t>
      </w:r>
      <w:r>
        <w:t>obserwują, kiedy kartka zacznie tonąć).</w:t>
      </w:r>
    </w:p>
    <w:p w:rsidR="009A563C" w:rsidRDefault="009A563C" w:rsidP="009A563C">
      <w:r>
        <w:t>Podsumowanie:</w:t>
      </w:r>
    </w:p>
    <w:p w:rsidR="009A563C" w:rsidRDefault="009A563C" w:rsidP="009A563C">
      <w:pPr>
        <w:pStyle w:val="Akapitzlist"/>
        <w:numPr>
          <w:ilvl w:val="0"/>
          <w:numId w:val="4"/>
        </w:numPr>
      </w:pPr>
      <w:r>
        <w:t>Które przedmioty toną,</w:t>
      </w:r>
      <w:r>
        <w:t xml:space="preserve"> </w:t>
      </w:r>
      <w:r>
        <w:t xml:space="preserve">a które unoszą się na wodzie? Co wpływa na to, czy przedmiot tonie, czy unosi się na powierzchni? </w:t>
      </w:r>
    </w:p>
    <w:p w:rsidR="009A563C" w:rsidRDefault="009A563C" w:rsidP="009A563C">
      <w:r>
        <w:t>Wyjaśnienie:</w:t>
      </w:r>
    </w:p>
    <w:p w:rsidR="009A563C" w:rsidRDefault="009A563C" w:rsidP="009A563C">
      <w:pPr>
        <w:jc w:val="both"/>
      </w:pPr>
      <w:r>
        <w:t xml:space="preserve"> To, czy przedmiot zatonie, czy będzie się unosił na powierzchni zależy od rodzaju przedmiotu</w:t>
      </w:r>
      <w:r>
        <w:t xml:space="preserve"> </w:t>
      </w:r>
      <w:r>
        <w:t>(materiału, z jakiego jest zrobiony) i jego kształtu. Nie zależy od koloru, zapachu. Niektóre</w:t>
      </w:r>
      <w:r>
        <w:t xml:space="preserve"> </w:t>
      </w:r>
      <w:r>
        <w:t>przedmioty, na</w:t>
      </w:r>
      <w:r>
        <w:t xml:space="preserve"> </w:t>
      </w:r>
      <w:r>
        <w:t>przykład kartka, korek, kora, gałązka, rozgnieciona na placek plastelina utrzymują się na powierzchni wody.</w:t>
      </w:r>
      <w:r>
        <w:t xml:space="preserve"> </w:t>
      </w:r>
      <w:r>
        <w:t>Gdy położymy na nich inne przedmioty, czyli zwiększymy ich ciężar, zaczynają tonąć.</w:t>
      </w:r>
    </w:p>
    <w:p w:rsidR="00056136" w:rsidRDefault="00056136" w:rsidP="009A563C">
      <w:pPr>
        <w:jc w:val="both"/>
      </w:pPr>
    </w:p>
    <w:p w:rsidR="009A563C" w:rsidRPr="00B34BBA" w:rsidRDefault="00C412F4" w:rsidP="009A563C">
      <w:pPr>
        <w:rPr>
          <w:b/>
          <w:bCs/>
        </w:rPr>
      </w:pPr>
      <w:r>
        <w:rPr>
          <w:b/>
          <w:bCs/>
        </w:rPr>
        <w:t>3</w:t>
      </w:r>
      <w:r w:rsidR="009A563C" w:rsidRPr="00B34BBA">
        <w:rPr>
          <w:b/>
          <w:bCs/>
        </w:rPr>
        <w:t xml:space="preserve"> doświadczenie: „</w:t>
      </w:r>
      <w:r w:rsidR="009A563C" w:rsidRPr="00B34BBA">
        <w:rPr>
          <w:b/>
          <w:bCs/>
        </w:rPr>
        <w:t>Czy woda może być okrągła?</w:t>
      </w:r>
      <w:r w:rsidR="009A563C" w:rsidRPr="00B34BBA">
        <w:rPr>
          <w:b/>
          <w:bCs/>
        </w:rPr>
        <w:t>”.</w:t>
      </w:r>
    </w:p>
    <w:p w:rsidR="009A563C" w:rsidRDefault="009A563C" w:rsidP="00B34BBA">
      <w:pPr>
        <w:jc w:val="both"/>
      </w:pPr>
      <w:r>
        <w:t>Potrzebne będą: miseczk</w:t>
      </w:r>
      <w:r>
        <w:t xml:space="preserve">a </w:t>
      </w:r>
      <w:r>
        <w:t>z wodą, strzykawk</w:t>
      </w:r>
      <w:r>
        <w:t>a (pipeta)</w:t>
      </w:r>
      <w:r>
        <w:t>, monety,</w:t>
      </w:r>
      <w:r>
        <w:t xml:space="preserve"> ewentualnie</w:t>
      </w:r>
      <w:r>
        <w:t xml:space="preserve"> lu</w:t>
      </w:r>
      <w:r>
        <w:t>pa.</w:t>
      </w:r>
    </w:p>
    <w:p w:rsidR="00056136" w:rsidRDefault="00056136" w:rsidP="00B34BBA">
      <w:pPr>
        <w:jc w:val="both"/>
      </w:pPr>
      <w:r w:rsidRPr="00056136">
        <w:drawing>
          <wp:anchor distT="0" distB="0" distL="114300" distR="114300" simplePos="0" relativeHeight="251660288" behindDoc="0" locked="0" layoutInCell="1" allowOverlap="1" wp14:anchorId="4AFF73E8">
            <wp:simplePos x="0" y="0"/>
            <wp:positionH relativeFrom="column">
              <wp:posOffset>1354219</wp:posOffset>
            </wp:positionH>
            <wp:positionV relativeFrom="paragraph">
              <wp:posOffset>16510</wp:posOffset>
            </wp:positionV>
            <wp:extent cx="2958151" cy="1952034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151" cy="1952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136" w:rsidRDefault="00056136" w:rsidP="00B34BBA">
      <w:pPr>
        <w:jc w:val="both"/>
      </w:pPr>
    </w:p>
    <w:p w:rsidR="00056136" w:rsidRDefault="00056136" w:rsidP="00B34BBA">
      <w:pPr>
        <w:jc w:val="both"/>
      </w:pPr>
    </w:p>
    <w:p w:rsidR="00056136" w:rsidRDefault="00056136" w:rsidP="00B34BBA">
      <w:pPr>
        <w:jc w:val="both"/>
      </w:pPr>
    </w:p>
    <w:p w:rsidR="00056136" w:rsidRDefault="00056136" w:rsidP="00B34BBA">
      <w:pPr>
        <w:jc w:val="both"/>
      </w:pPr>
    </w:p>
    <w:p w:rsidR="00056136" w:rsidRDefault="00056136" w:rsidP="00B34BBA">
      <w:pPr>
        <w:jc w:val="both"/>
      </w:pPr>
    </w:p>
    <w:p w:rsidR="00056136" w:rsidRDefault="00056136" w:rsidP="00B34BBA">
      <w:pPr>
        <w:jc w:val="both"/>
      </w:pPr>
    </w:p>
    <w:p w:rsidR="00056136" w:rsidRPr="00056136" w:rsidRDefault="00056136" w:rsidP="00056136">
      <w:pPr>
        <w:jc w:val="center"/>
        <w:rPr>
          <w:sz w:val="16"/>
          <w:szCs w:val="16"/>
        </w:rPr>
      </w:pPr>
      <w:r w:rsidRPr="00056136">
        <w:rPr>
          <w:sz w:val="16"/>
          <w:szCs w:val="16"/>
        </w:rPr>
        <w:t>https://fundacjaroro.org/napiecie-powierzchniowe/</w:t>
      </w:r>
    </w:p>
    <w:p w:rsidR="00056136" w:rsidRDefault="00056136" w:rsidP="00B34BBA">
      <w:pPr>
        <w:jc w:val="both"/>
      </w:pPr>
    </w:p>
    <w:p w:rsidR="009A563C" w:rsidRDefault="009A563C" w:rsidP="00B34BBA">
      <w:pPr>
        <w:jc w:val="both"/>
      </w:pPr>
      <w:r>
        <w:t>Przebieg:</w:t>
      </w:r>
    </w:p>
    <w:p w:rsidR="009A563C" w:rsidRDefault="009A563C" w:rsidP="00B34BBA">
      <w:pPr>
        <w:jc w:val="both"/>
      </w:pPr>
      <w:r>
        <w:t>D</w:t>
      </w:r>
      <w:r>
        <w:t>o miseczki nalewa</w:t>
      </w:r>
      <w:r>
        <w:t>my</w:t>
      </w:r>
      <w:r>
        <w:t xml:space="preserve"> wod</w:t>
      </w:r>
      <w:r>
        <w:t>ę</w:t>
      </w:r>
      <w:r>
        <w:t>. Nabiera</w:t>
      </w:r>
      <w:r>
        <w:t>my</w:t>
      </w:r>
      <w:r>
        <w:t xml:space="preserve"> wodę do strzykawki</w:t>
      </w:r>
      <w:r>
        <w:t xml:space="preserve"> lub pipety</w:t>
      </w:r>
      <w:r>
        <w:t>.</w:t>
      </w:r>
      <w:r>
        <w:t xml:space="preserve"> </w:t>
      </w:r>
      <w:r>
        <w:t>Kładzie</w:t>
      </w:r>
      <w:r>
        <w:t>my</w:t>
      </w:r>
      <w:r>
        <w:t xml:space="preserve"> na stole monet</w:t>
      </w:r>
      <w:r>
        <w:t>y rożnej wielkości</w:t>
      </w:r>
      <w:r>
        <w:t>. Delikatnie umieszcza wodę ze strzykawki na powierzchni monety.</w:t>
      </w:r>
    </w:p>
    <w:p w:rsidR="009A563C" w:rsidRDefault="009A563C" w:rsidP="00B34BBA">
      <w:pPr>
        <w:jc w:val="both"/>
      </w:pPr>
      <w:r>
        <w:t>Zadaniem dziecka jest</w:t>
      </w:r>
      <w:r>
        <w:t xml:space="preserve"> obserw</w:t>
      </w:r>
      <w:r>
        <w:t>acja</w:t>
      </w:r>
      <w:r>
        <w:t>, jaki kształt przybiera powierzchnia wody (mo</w:t>
      </w:r>
      <w:r>
        <w:t>żna</w:t>
      </w:r>
      <w:r>
        <w:t xml:space="preserve"> wykorzystać lup</w:t>
      </w:r>
      <w:r>
        <w:t>ę</w:t>
      </w:r>
      <w:r>
        <w:t xml:space="preserve">). </w:t>
      </w:r>
      <w:r>
        <w:t>Powtórzcie t</w:t>
      </w:r>
      <w:r w:rsidR="00B34BBA">
        <w:t>e czynności z różniej wielkości monetami. Co zaobserwowaliście?</w:t>
      </w:r>
    </w:p>
    <w:p w:rsidR="00580A27" w:rsidRDefault="009A563C" w:rsidP="00B34BBA">
      <w:pPr>
        <w:jc w:val="both"/>
      </w:pPr>
      <w:r>
        <w:t>Wyjaśni</w:t>
      </w:r>
      <w:r w:rsidR="00B34BBA">
        <w:t>enie: Z</w:t>
      </w:r>
      <w:r>
        <w:t>aokrąglona powierzchnia wody</w:t>
      </w:r>
      <w:r w:rsidR="00B34BBA">
        <w:t xml:space="preserve"> </w:t>
      </w:r>
      <w:r>
        <w:t>jest wynikiem przyciągania cząsteczek wody.</w:t>
      </w:r>
    </w:p>
    <w:p w:rsidR="00B34BBA" w:rsidRDefault="00C412F4" w:rsidP="00B34BBA">
      <w:pPr>
        <w:jc w:val="both"/>
        <w:rPr>
          <w:b/>
          <w:bCs/>
        </w:rPr>
      </w:pPr>
      <w:r>
        <w:rPr>
          <w:b/>
          <w:bCs/>
        </w:rPr>
        <w:br w:type="column"/>
      </w:r>
      <w:r w:rsidR="00056136">
        <w:rPr>
          <w:b/>
          <w:bCs/>
        </w:rPr>
        <w:lastRenderedPageBreak/>
        <w:t>4</w:t>
      </w:r>
      <w:r w:rsidR="00B34BBA" w:rsidRPr="00B34BBA">
        <w:rPr>
          <w:b/>
          <w:bCs/>
        </w:rPr>
        <w:t xml:space="preserve"> doświadczenie: </w:t>
      </w:r>
      <w:r w:rsidR="001907FC">
        <w:rPr>
          <w:b/>
          <w:bCs/>
        </w:rPr>
        <w:t>„Rozwijający się kwiat”.</w:t>
      </w:r>
    </w:p>
    <w:p w:rsidR="001907FC" w:rsidRDefault="001907FC" w:rsidP="00B34BBA">
      <w:pPr>
        <w:jc w:val="both"/>
      </w:pPr>
      <w:r>
        <w:t xml:space="preserve">Potrzebne będą: miska z wodą, kolorowe kartki, nożyczki. </w:t>
      </w:r>
    </w:p>
    <w:p w:rsidR="00C412F4" w:rsidRDefault="00C412F4" w:rsidP="00B34BBA">
      <w:pPr>
        <w:jc w:val="both"/>
      </w:pPr>
      <w:r>
        <w:t xml:space="preserve">Przebieg: wycinamy z kolorowych kartek kwiaty (ich środku dziecko może ukryć wiadomość). Składamy je płatkami do środka i układamy na wodzie. Obserwujemy co się wydarzy. </w:t>
      </w:r>
    </w:p>
    <w:p w:rsidR="00C412F4" w:rsidRDefault="00C412F4" w:rsidP="00B34BBA">
      <w:pPr>
        <w:jc w:val="both"/>
      </w:pPr>
      <w:r w:rsidRPr="001907FC">
        <w:drawing>
          <wp:anchor distT="0" distB="0" distL="114300" distR="114300" simplePos="0" relativeHeight="251662336" behindDoc="0" locked="0" layoutInCell="1" allowOverlap="1" wp14:anchorId="64A0BE60">
            <wp:simplePos x="0" y="0"/>
            <wp:positionH relativeFrom="column">
              <wp:posOffset>3139617</wp:posOffset>
            </wp:positionH>
            <wp:positionV relativeFrom="paragraph">
              <wp:posOffset>218957</wp:posOffset>
            </wp:positionV>
            <wp:extent cx="2827655" cy="188658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7FC">
        <w:drawing>
          <wp:anchor distT="0" distB="0" distL="114300" distR="114300" simplePos="0" relativeHeight="251661312" behindDoc="0" locked="0" layoutInCell="1" allowOverlap="1" wp14:anchorId="2B565042">
            <wp:simplePos x="0" y="0"/>
            <wp:positionH relativeFrom="column">
              <wp:posOffset>-69353</wp:posOffset>
            </wp:positionH>
            <wp:positionV relativeFrom="paragraph">
              <wp:posOffset>222545</wp:posOffset>
            </wp:positionV>
            <wp:extent cx="2907220" cy="1939748"/>
            <wp:effectExtent l="0" t="0" r="762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220" cy="1939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7FC" w:rsidRDefault="001907FC" w:rsidP="00B34BBA">
      <w:pPr>
        <w:jc w:val="both"/>
      </w:pPr>
    </w:p>
    <w:p w:rsidR="001907FC" w:rsidRDefault="001907FC" w:rsidP="00B34BBA">
      <w:pPr>
        <w:jc w:val="both"/>
      </w:pPr>
    </w:p>
    <w:p w:rsidR="001907FC" w:rsidRDefault="001907FC" w:rsidP="00B34BBA">
      <w:pPr>
        <w:jc w:val="both"/>
      </w:pPr>
    </w:p>
    <w:p w:rsidR="001907FC" w:rsidRDefault="001907FC" w:rsidP="00B34BBA">
      <w:pPr>
        <w:jc w:val="both"/>
      </w:pPr>
    </w:p>
    <w:p w:rsidR="001907FC" w:rsidRDefault="001907FC" w:rsidP="00B34BBA">
      <w:pPr>
        <w:jc w:val="both"/>
      </w:pPr>
    </w:p>
    <w:p w:rsidR="001907FC" w:rsidRDefault="001907FC" w:rsidP="00B34BBA">
      <w:pPr>
        <w:jc w:val="both"/>
      </w:pPr>
    </w:p>
    <w:p w:rsidR="001907FC" w:rsidRDefault="001907FC" w:rsidP="00B34BBA">
      <w:pPr>
        <w:jc w:val="both"/>
      </w:pPr>
    </w:p>
    <w:p w:rsidR="001907FC" w:rsidRDefault="00C412F4" w:rsidP="001907FC">
      <w:pPr>
        <w:jc w:val="center"/>
        <w:rPr>
          <w:sz w:val="16"/>
          <w:szCs w:val="16"/>
        </w:rPr>
      </w:pPr>
      <w:hyperlink r:id="rId12" w:history="1">
        <w:r w:rsidRPr="00F60BF3">
          <w:rPr>
            <w:rStyle w:val="Hipercze"/>
            <w:sz w:val="16"/>
            <w:szCs w:val="16"/>
          </w:rPr>
          <w:t>https://www.mamawdomu.pl/2018/02/zaszyfrowane-kwiatki.html</w:t>
        </w:r>
      </w:hyperlink>
    </w:p>
    <w:p w:rsidR="00C412F4" w:rsidRDefault="00C412F4" w:rsidP="001907FC">
      <w:pPr>
        <w:jc w:val="center"/>
        <w:rPr>
          <w:sz w:val="16"/>
          <w:szCs w:val="16"/>
        </w:rPr>
      </w:pPr>
    </w:p>
    <w:p w:rsidR="00C412F4" w:rsidRPr="009A743F" w:rsidRDefault="00C412F4" w:rsidP="00C412F4">
      <w:pPr>
        <w:rPr>
          <w:b/>
          <w:bCs/>
        </w:rPr>
      </w:pPr>
      <w:r w:rsidRPr="009A743F">
        <w:rPr>
          <w:b/>
          <w:bCs/>
        </w:rPr>
        <w:t>5 doświadczenie: „Tańczące rodzynki”</w:t>
      </w:r>
    </w:p>
    <w:p w:rsidR="00C412F4" w:rsidRDefault="00C412F4" w:rsidP="00C412F4">
      <w:r>
        <w:t>Potrzebne będą: przeźroczyste szklane naczynie (wazon, butelka</w:t>
      </w:r>
      <w:r w:rsidR="009A743F">
        <w:t>, wysoka szklanka</w:t>
      </w:r>
      <w:r>
        <w:t xml:space="preserve">), woda gazowana, rodzynki.  </w:t>
      </w:r>
    </w:p>
    <w:p w:rsidR="009A743F" w:rsidRDefault="009A743F" w:rsidP="00C412F4">
      <w:r>
        <w:t>Przebieg: wlewamy wodę do wysokiego naczynia, wrzucamy rodzynki i obserwujemy, co się wydarzy.</w:t>
      </w:r>
    </w:p>
    <w:p w:rsidR="00C412F4" w:rsidRDefault="009A743F" w:rsidP="00C412F4">
      <w:r w:rsidRPr="009A743F">
        <w:drawing>
          <wp:anchor distT="0" distB="0" distL="114300" distR="114300" simplePos="0" relativeHeight="251663360" behindDoc="0" locked="0" layoutInCell="1" allowOverlap="1" wp14:anchorId="672CDC11">
            <wp:simplePos x="0" y="0"/>
            <wp:positionH relativeFrom="column">
              <wp:posOffset>801252</wp:posOffset>
            </wp:positionH>
            <wp:positionV relativeFrom="paragraph">
              <wp:posOffset>1905</wp:posOffset>
            </wp:positionV>
            <wp:extent cx="3987210" cy="1993605"/>
            <wp:effectExtent l="0" t="0" r="0" b="698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210" cy="199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43F" w:rsidRPr="009A743F" w:rsidRDefault="009A743F" w:rsidP="009A743F"/>
    <w:p w:rsidR="009A743F" w:rsidRPr="009A743F" w:rsidRDefault="009A743F" w:rsidP="009A743F"/>
    <w:p w:rsidR="009A743F" w:rsidRPr="009A743F" w:rsidRDefault="009A743F" w:rsidP="009A743F"/>
    <w:p w:rsidR="009A743F" w:rsidRPr="009A743F" w:rsidRDefault="009A743F" w:rsidP="009A743F"/>
    <w:p w:rsidR="009A743F" w:rsidRPr="009A743F" w:rsidRDefault="009A743F" w:rsidP="009A743F"/>
    <w:p w:rsidR="009A743F" w:rsidRPr="009A743F" w:rsidRDefault="009A743F" w:rsidP="009A743F">
      <w:pPr>
        <w:jc w:val="center"/>
        <w:rPr>
          <w:sz w:val="16"/>
          <w:szCs w:val="16"/>
        </w:rPr>
      </w:pPr>
    </w:p>
    <w:p w:rsidR="009A743F" w:rsidRDefault="009A743F" w:rsidP="009A743F">
      <w:pPr>
        <w:tabs>
          <w:tab w:val="left" w:pos="2796"/>
        </w:tabs>
        <w:jc w:val="center"/>
        <w:rPr>
          <w:sz w:val="16"/>
          <w:szCs w:val="16"/>
        </w:rPr>
      </w:pPr>
      <w:hyperlink r:id="rId14" w:history="1">
        <w:r w:rsidRPr="00F60BF3">
          <w:rPr>
            <w:rStyle w:val="Hipercze"/>
            <w:sz w:val="16"/>
            <w:szCs w:val="16"/>
          </w:rPr>
          <w:t>https://www.littlepassports.com/blog/learning/dancing-raisins/</w:t>
        </w:r>
      </w:hyperlink>
    </w:p>
    <w:p w:rsidR="009A743F" w:rsidRPr="009A743F" w:rsidRDefault="009A743F" w:rsidP="009A743F">
      <w:pPr>
        <w:tabs>
          <w:tab w:val="left" w:pos="2796"/>
        </w:tabs>
        <w:jc w:val="both"/>
      </w:pPr>
      <w:r w:rsidRPr="009A743F">
        <w:t xml:space="preserve">Wnioski: </w:t>
      </w:r>
      <w:r w:rsidRPr="009A743F">
        <w:t>Na początku rodzynki opadają na dno, ponieważ siła grawitacji ściąga rodzynki w dół z wyższą siłą, niż siła wody, która wypiera rodzynki w górę.</w:t>
      </w:r>
      <w:r w:rsidRPr="009A743F">
        <w:t xml:space="preserve"> </w:t>
      </w:r>
      <w:r w:rsidRPr="009A743F">
        <w:t>Po chwili rodzynki zostają otoczone cząsteczkami CO2.  Siła się zmienia. Teraz siła wyporu przewyższa siłę ciężkości, co sprawia, że rodzynki ,,tańczą" ku górze</w:t>
      </w:r>
      <w:r w:rsidRPr="009A743F">
        <w:t xml:space="preserve">. </w:t>
      </w:r>
    </w:p>
    <w:p w:rsidR="009A743F" w:rsidRPr="009A743F" w:rsidRDefault="009A743F" w:rsidP="009A743F">
      <w:pPr>
        <w:tabs>
          <w:tab w:val="left" w:pos="2796"/>
        </w:tabs>
        <w:jc w:val="center"/>
        <w:rPr>
          <w:sz w:val="16"/>
          <w:szCs w:val="16"/>
        </w:rPr>
      </w:pPr>
    </w:p>
    <w:sectPr w:rsidR="009A743F" w:rsidRPr="009A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EED" w:rsidRDefault="00E80EED" w:rsidP="009A563C">
      <w:pPr>
        <w:spacing w:after="0" w:line="240" w:lineRule="auto"/>
      </w:pPr>
      <w:r>
        <w:separator/>
      </w:r>
    </w:p>
  </w:endnote>
  <w:endnote w:type="continuationSeparator" w:id="0">
    <w:p w:rsidR="00E80EED" w:rsidRDefault="00E80EED" w:rsidP="009A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EED" w:rsidRDefault="00E80EED" w:rsidP="009A563C">
      <w:pPr>
        <w:spacing w:after="0" w:line="240" w:lineRule="auto"/>
      </w:pPr>
      <w:r>
        <w:separator/>
      </w:r>
    </w:p>
  </w:footnote>
  <w:footnote w:type="continuationSeparator" w:id="0">
    <w:p w:rsidR="00E80EED" w:rsidRDefault="00E80EED" w:rsidP="009A5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36E6C"/>
    <w:multiLevelType w:val="hybridMultilevel"/>
    <w:tmpl w:val="E5904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B00A08"/>
    <w:multiLevelType w:val="hybridMultilevel"/>
    <w:tmpl w:val="0A9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8D1F7F"/>
    <w:multiLevelType w:val="hybridMultilevel"/>
    <w:tmpl w:val="08560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A847B2"/>
    <w:multiLevelType w:val="hybridMultilevel"/>
    <w:tmpl w:val="94C2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60793"/>
    <w:multiLevelType w:val="hybridMultilevel"/>
    <w:tmpl w:val="0C88294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AB"/>
    <w:rsid w:val="00056136"/>
    <w:rsid w:val="001907FC"/>
    <w:rsid w:val="00224AC8"/>
    <w:rsid w:val="00580A27"/>
    <w:rsid w:val="00907BAB"/>
    <w:rsid w:val="00992526"/>
    <w:rsid w:val="009A563C"/>
    <w:rsid w:val="009A743F"/>
    <w:rsid w:val="00B34BBA"/>
    <w:rsid w:val="00C412F4"/>
    <w:rsid w:val="00D77DD6"/>
    <w:rsid w:val="00E80EED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7A61"/>
  <w15:chartTrackingRefBased/>
  <w15:docId w15:val="{83CD540E-10AC-4A6E-916C-2DB3CFAF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A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6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12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amawdomu.pl/2018/02/zaszyfrowane-kwiatk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littlepassports.com/blog/learning/dancing-raisin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3</cp:revision>
  <dcterms:created xsi:type="dcterms:W3CDTF">2020-04-17T07:01:00Z</dcterms:created>
  <dcterms:modified xsi:type="dcterms:W3CDTF">2020-04-17T08:28:00Z</dcterms:modified>
</cp:coreProperties>
</file>